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shd w:val="clear" w:color="auto" w:fill="auto"/>
          </w:tcPr>
          <w:p>
            <w:pPr>
              <w:pStyle w:val="71"/>
              <w:framePr w:w="0" w:hRule="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hint="eastAsia" w:eastAsia="宋体"/>
                <w:sz w:val="64"/>
                <w:lang w:val="en-US" w:eastAsia="zh-CN"/>
              </w:rPr>
              <w:t>908</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0</w:t>
            </w:r>
            <w:r>
              <w:t>.</w:t>
            </w:r>
            <w:bookmarkEnd w:id="3"/>
            <w:r>
              <w:rPr>
                <w:rFonts w:hint="eastAsia" w:eastAsia="宋体"/>
                <w:lang w:val="en-US" w:eastAsia="zh-CN"/>
              </w:rPr>
              <w:t>0</w:t>
            </w:r>
            <w:r>
              <w:t xml:space="preserve"> </w:t>
            </w:r>
            <w:r>
              <w:rPr>
                <w:sz w:val="32"/>
              </w:rPr>
              <w:t>(</w:t>
            </w:r>
            <w:bookmarkStart w:id="4" w:name="issueDate"/>
            <w:r>
              <w:rPr>
                <w:sz w:val="32"/>
              </w:rPr>
              <w:t>2024-</w:t>
            </w:r>
            <w:bookmarkEnd w:id="4"/>
            <w:r>
              <w:rPr>
                <w:sz w:val="32"/>
                <w:lang w:val="en-US" w:eastAsia="zh-CN"/>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2"/>
              <w:framePr w:w="0" w:hRule="auto" w:vAnchor="margin" w:hAnchor="text" w:yAlign="inline"/>
            </w:pPr>
            <w:r>
              <w:t xml:space="preserve">Technical </w:t>
            </w:r>
            <w:bookmarkStart w:id="5" w:name="spectype2"/>
            <w:r>
              <w:t>Specification</w:t>
            </w:r>
            <w:bookmarkEnd w:id="5"/>
          </w:p>
          <w:p>
            <w:pPr>
              <w:pStyle w:val="86"/>
              <w:framePr w:wrap="auto" w:vAnchor="margin" w:hAnchor="text" w:yAlign="inline"/>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73"/>
              <w:framePr w:hAnchor="text" w:yAlign="inline"/>
            </w:pPr>
            <w:r>
              <w:t>3rd Generation Partnership Project;</w:t>
            </w:r>
          </w:p>
          <w:p>
            <w:pPr>
              <w:pStyle w:val="73"/>
              <w:framePr w:hAnchor="text" w:yAlign="inline"/>
            </w:pPr>
            <w:r>
              <w:t xml:space="preserve">Technical Specification Group </w:t>
            </w:r>
            <w:bookmarkStart w:id="6" w:name="specTitle"/>
            <w:r>
              <w:rPr>
                <w:lang w:eastAsia="ko-KR"/>
              </w:rPr>
              <w:t>Radio Access Network</w:t>
            </w:r>
            <w:r>
              <w:t>;</w:t>
            </w:r>
          </w:p>
          <w:p>
            <w:pPr>
              <w:pStyle w:val="73"/>
              <w:framePr w:hAnchor="text" w:yAlign="inline"/>
            </w:pPr>
            <w:r>
              <w:rPr>
                <w:rFonts w:hint="eastAsia" w:eastAsia="宋体"/>
                <w:lang w:val="en-US" w:eastAsia="zh-CN"/>
              </w:rPr>
              <w:t>NR</w:t>
            </w:r>
            <w:r>
              <w:t>;</w:t>
            </w:r>
          </w:p>
          <w:p>
            <w:pPr>
              <w:pStyle w:val="73"/>
              <w:framePr w:hAnchor="text" w:yAlign="inline"/>
            </w:pPr>
            <w:r>
              <w:rPr>
                <w:rFonts w:hint="eastAsia" w:eastAsia="宋体"/>
                <w:lang w:val="en-US" w:eastAsia="zh-CN"/>
              </w:rPr>
              <w:t>Protection of fixed satellite service (FSS) UL within 6425 to 7125 MHz</w:t>
            </w:r>
            <w:r>
              <w:t xml:space="preserve"> </w:t>
            </w:r>
            <w:bookmarkEnd w:id="6"/>
          </w:p>
          <w:p>
            <w:pPr>
              <w:pStyle w:val="73"/>
              <w:framePr w:hAnchor="text" w:yAlign="inline"/>
              <w:rPr>
                <w:i/>
                <w:sz w:val="28"/>
              </w:rPr>
            </w:pPr>
            <w:r>
              <w:t>(</w:t>
            </w:r>
            <w:r>
              <w:rPr>
                <w:rStyle w:val="52"/>
              </w:rPr>
              <w:t xml:space="preserve">Release </w:t>
            </w:r>
            <w:bookmarkStart w:id="7" w:name="specRelease"/>
            <w:r>
              <w:rPr>
                <w:rStyle w:val="52"/>
              </w:rPr>
              <w:t>1</w:t>
            </w:r>
            <w:bookmarkEnd w:id="7"/>
            <w:r>
              <w:rPr>
                <w:rStyle w:val="52"/>
                <w:rFonts w:hint="eastAsia"/>
                <w:lang w:val="en-US" w:eastAsia="zh-CN"/>
              </w:rPr>
              <w:t>9</w:t>
            </w:r>
            <w: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4"/>
              <w:framePr w:w="0" w:vAnchor="margin" w:hAnchor="text" w:yAlign="inline"/>
              <w:tabs>
                <w:tab w:val="right" w:pos="10206"/>
              </w:tabs>
              <w:jc w:val="left"/>
              <w:rPr>
                <w:color w:val="0000FF"/>
              </w:rPr>
            </w:pPr>
            <w:r>
              <w:rPr>
                <w:color w:val="0000FF"/>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pPr>
              <w:jc w:val="right"/>
            </w:pPr>
            <w:bookmarkStart w:id="9"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8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4"/>
              <w:spacing w:after="240"/>
              <w:ind w:left="2835" w:right="2835"/>
              <w:jc w:val="center"/>
              <w:rPr>
                <w:rFonts w:ascii="Arial" w:hAnsi="Arial"/>
                <w:b/>
                <w:i/>
              </w:rPr>
            </w:pPr>
            <w:bookmarkStart w:id="12"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lang w:val="fr-FR"/>
              </w:rPr>
            </w:pPr>
            <w:r>
              <w:rPr>
                <w:rFonts w:ascii="Arial" w:hAnsi="Arial"/>
                <w:sz w:val="18"/>
                <w:lang w:val="fr-FR"/>
              </w:rPr>
              <w:t>650 Route des Lucioles - Sophia Antipolis</w:t>
            </w:r>
          </w:p>
          <w:p>
            <w:pPr>
              <w:pStyle w:val="64"/>
              <w:ind w:left="2835" w:right="2835"/>
              <w:jc w:val="center"/>
              <w:rPr>
                <w:rFonts w:ascii="Arial" w:hAnsi="Arial"/>
                <w:sz w:val="18"/>
                <w:lang w:val="fr-FR"/>
              </w:rPr>
            </w:pPr>
            <w:r>
              <w:rPr>
                <w:rFonts w:ascii="Arial" w:hAnsi="Arial"/>
                <w:sz w:val="18"/>
                <w:lang w:val="fr-FR"/>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2024, 3GPP Organizational Partners (ARIB, ATIS, CCSA, ETSI, TSDSI, TTA, TTC).</w:t>
            </w:r>
            <w:bookmarkStart w:id="14" w:name="copyrightaddon"/>
            <w:bookmarkEnd w:id="14"/>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13"/>
          </w:p>
          <w:p/>
        </w:tc>
      </w:tr>
      <w:bookmarkEnd w:id="11"/>
    </w:tbl>
    <w:p>
      <w:pPr>
        <w:pStyle w:val="54"/>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_Toc32645 \h </w:instrText>
      </w:r>
      <w:r>
        <w:fldChar w:fldCharType="separate"/>
      </w:r>
      <w:r>
        <w:t>4</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_Toc9109 \h </w:instrText>
      </w:r>
      <w:r>
        <w:fldChar w:fldCharType="separate"/>
      </w:r>
      <w:r>
        <w:t>6</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_Toc24577 \h </w:instrText>
      </w:r>
      <w:r>
        <w:fldChar w:fldCharType="separate"/>
      </w:r>
      <w:r>
        <w:t>6</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_Toc21143 \h </w:instrText>
      </w:r>
      <w:r>
        <w:fldChar w:fldCharType="separate"/>
      </w:r>
      <w:r>
        <w:t>6</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_Toc24118 \h </w:instrText>
      </w:r>
      <w:r>
        <w:fldChar w:fldCharType="separate"/>
      </w:r>
      <w:r>
        <w:t>6</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_Toc16484 \h </w:instrText>
      </w:r>
      <w:r>
        <w:fldChar w:fldCharType="separate"/>
      </w:r>
      <w:r>
        <w:t>6</w:t>
      </w:r>
      <w:r>
        <w:fldChar w:fldCharType="end"/>
      </w:r>
    </w:p>
    <w:p>
      <w:pPr>
        <w:pStyle w:val="20"/>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_Toc15660 \h </w:instrText>
      </w:r>
      <w:r>
        <w:fldChar w:fldCharType="separate"/>
      </w:r>
      <w:r>
        <w:t>6</w:t>
      </w:r>
      <w:r>
        <w:fldChar w:fldCharType="end"/>
      </w:r>
    </w:p>
    <w:p>
      <w:pPr>
        <w:pStyle w:val="21"/>
        <w:tabs>
          <w:tab w:val="right" w:leader="dot" w:pos="9641"/>
          <w:tab w:val="clear" w:pos="9639"/>
        </w:tabs>
      </w:pPr>
      <w:r>
        <w:rPr>
          <w:rFonts w:hint="eastAsia"/>
          <w:lang w:val="en-US" w:eastAsia="zh-CN"/>
        </w:rPr>
        <w:t>4        Background</w:t>
      </w:r>
      <w:r>
        <w:tab/>
      </w:r>
      <w:r>
        <w:fldChar w:fldCharType="begin"/>
      </w:r>
      <w:r>
        <w:instrText xml:space="preserve"> PAGEREF _Toc1420 \h </w:instrText>
      </w:r>
      <w:r>
        <w:fldChar w:fldCharType="separate"/>
      </w:r>
      <w:r>
        <w:t>6</w:t>
      </w:r>
      <w:r>
        <w:fldChar w:fldCharType="end"/>
      </w:r>
    </w:p>
    <w:p>
      <w:pPr>
        <w:pStyle w:val="21"/>
        <w:tabs>
          <w:tab w:val="right" w:pos="2000"/>
          <w:tab w:val="right" w:leader="dot" w:pos="9641"/>
          <w:tab w:val="clear" w:pos="9639"/>
        </w:tabs>
      </w:pPr>
      <w:r>
        <w:rPr>
          <w:rFonts w:hint="eastAsia"/>
          <w:lang w:eastAsia="zh-CN"/>
        </w:rPr>
        <w:t>5</w:t>
      </w:r>
      <w:r>
        <w:rPr>
          <w:lang w:eastAsia="zh-CN"/>
        </w:rPr>
        <w:tab/>
      </w:r>
      <w:r>
        <w:rPr>
          <w:rFonts w:hint="eastAsia"/>
          <w:lang w:val="en-US" w:eastAsia="zh-CN"/>
        </w:rPr>
        <w:t>RF requirement</w:t>
      </w:r>
      <w:r>
        <w:tab/>
      </w:r>
      <w:r>
        <w:rPr>
          <w:rFonts w:hint="eastAsia" w:eastAsia="宋体"/>
          <w:lang w:val="en-US" w:eastAsia="zh-CN"/>
        </w:rPr>
        <w:tab/>
      </w:r>
      <w:r>
        <w:fldChar w:fldCharType="begin"/>
      </w:r>
      <w:r>
        <w:instrText xml:space="preserve"> PAGEREF _Toc13876 \h </w:instrText>
      </w:r>
      <w:r>
        <w:fldChar w:fldCharType="separate"/>
      </w:r>
      <w:r>
        <w:t>6</w:t>
      </w:r>
      <w:r>
        <w:fldChar w:fldCharType="end"/>
      </w:r>
    </w:p>
    <w:p>
      <w:pPr>
        <w:pStyle w:val="21"/>
        <w:tabs>
          <w:tab w:val="right" w:pos="2000"/>
          <w:tab w:val="right" w:leader="dot" w:pos="9641"/>
          <w:tab w:val="clear" w:pos="9639"/>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_Toc29978 \h </w:instrText>
      </w:r>
      <w:r>
        <w:fldChar w:fldCharType="separate"/>
      </w:r>
      <w:r>
        <w:t>6</w:t>
      </w:r>
      <w:r>
        <w:fldChar w:fldCharType="end"/>
      </w:r>
    </w:p>
    <w:p>
      <w:r>
        <w:fldChar w:fldCharType="end"/>
      </w:r>
    </w:p>
    <w:p>
      <w:r>
        <w:br w:type="page"/>
      </w:r>
    </w:p>
    <w:p>
      <w:pPr>
        <w:pStyle w:val="2"/>
      </w:pPr>
      <w:bookmarkStart w:id="16" w:name="foreword"/>
      <w:bookmarkEnd w:id="16"/>
      <w:bookmarkStart w:id="17" w:name="_Toc138894129"/>
      <w:bookmarkStart w:id="18" w:name="_Toc28756"/>
      <w:bookmarkStart w:id="19" w:name="_Toc153188814"/>
      <w:bookmarkStart w:id="20" w:name="_Toc137244683"/>
      <w:bookmarkStart w:id="21" w:name="_Toc121908643"/>
      <w:bookmarkStart w:id="22" w:name="_Toc155672097"/>
      <w:bookmarkStart w:id="23" w:name="_Toc138893897"/>
      <w:bookmarkStart w:id="24" w:name="_Toc161927740"/>
      <w:bookmarkStart w:id="25" w:name="_Toc121932929"/>
      <w:bookmarkStart w:id="26" w:name="_Toc124186438"/>
      <w:bookmarkStart w:id="27" w:name="_Toc137240586"/>
      <w:bookmarkStart w:id="28" w:name="_Toc32645"/>
      <w:bookmarkStart w:id="29" w:name="_Toc145036522"/>
      <w:r>
        <w:t>Foreword</w:t>
      </w:r>
      <w:bookmarkEnd w:id="17"/>
      <w:bookmarkEnd w:id="18"/>
      <w:bookmarkEnd w:id="19"/>
      <w:bookmarkEnd w:id="20"/>
      <w:bookmarkEnd w:id="21"/>
      <w:bookmarkEnd w:id="22"/>
      <w:bookmarkEnd w:id="23"/>
      <w:bookmarkEnd w:id="24"/>
      <w:bookmarkEnd w:id="25"/>
      <w:bookmarkEnd w:id="26"/>
      <w:bookmarkEnd w:id="27"/>
      <w:bookmarkEnd w:id="28"/>
      <w:bookmarkEnd w:id="29"/>
    </w:p>
    <w:p>
      <w:r>
        <w:t xml:space="preserve">This Technical </w:t>
      </w:r>
      <w:bookmarkStart w:id="30" w:name="spectype3"/>
      <w:r>
        <w:t>Specification</w:t>
      </w:r>
      <w:bookmarkEnd w:id="3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bookmarkStart w:id="31" w:name="introduction"/>
      <w:bookmarkEnd w:id="31"/>
      <w:r>
        <w:br w:type="page"/>
      </w:r>
      <w:bookmarkStart w:id="32" w:name="scope"/>
      <w:bookmarkEnd w:id="32"/>
    </w:p>
    <w:p>
      <w:pPr>
        <w:pStyle w:val="2"/>
      </w:pPr>
      <w:bookmarkStart w:id="33" w:name="_Toc137240587"/>
      <w:bookmarkStart w:id="34" w:name="_Toc153188815"/>
      <w:bookmarkStart w:id="35" w:name="_Toc124186439"/>
      <w:bookmarkStart w:id="36" w:name="_Toc121908644"/>
      <w:bookmarkStart w:id="37" w:name="_Toc138893898"/>
      <w:bookmarkStart w:id="38" w:name="_Toc161927741"/>
      <w:bookmarkStart w:id="39" w:name="_Toc137244684"/>
      <w:bookmarkStart w:id="40" w:name="_Toc138894130"/>
      <w:bookmarkStart w:id="41" w:name="_Toc155672098"/>
      <w:bookmarkStart w:id="42" w:name="_Toc11154"/>
      <w:bookmarkStart w:id="43" w:name="_Toc121932930"/>
      <w:bookmarkStart w:id="44" w:name="_Toc9109"/>
      <w:bookmarkStart w:id="45" w:name="_Toc145036523"/>
      <w:r>
        <w:t>1</w:t>
      </w:r>
      <w:r>
        <w:tab/>
      </w:r>
      <w:r>
        <w:t>Scope</w:t>
      </w:r>
      <w:bookmarkEnd w:id="33"/>
      <w:bookmarkEnd w:id="34"/>
      <w:bookmarkEnd w:id="35"/>
      <w:bookmarkEnd w:id="36"/>
      <w:bookmarkEnd w:id="37"/>
      <w:bookmarkEnd w:id="38"/>
      <w:bookmarkEnd w:id="39"/>
      <w:bookmarkEnd w:id="40"/>
      <w:bookmarkEnd w:id="41"/>
      <w:bookmarkEnd w:id="42"/>
      <w:bookmarkEnd w:id="43"/>
      <w:bookmarkEnd w:id="44"/>
      <w:bookmarkEnd w:id="45"/>
    </w:p>
    <w:p>
      <w:pPr>
        <w:rPr>
          <w:rFonts w:hint="default" w:eastAsia="宋体"/>
          <w:lang w:val="en-US" w:eastAsia="zh-CN"/>
        </w:rPr>
      </w:pPr>
      <w:bookmarkStart w:id="46" w:name="references"/>
      <w:bookmarkEnd w:id="46"/>
      <w:bookmarkStart w:id="47" w:name="_Toc121932931"/>
      <w:bookmarkStart w:id="48" w:name="_Toc12787"/>
      <w:bookmarkStart w:id="49" w:name="_Toc124186440"/>
      <w:bookmarkStart w:id="50" w:name="_Toc121908645"/>
      <w:bookmarkStart w:id="51" w:name="_Toc137240588"/>
      <w:r>
        <w:t xml:space="preserve">The present document is a technical report </w:t>
      </w:r>
      <w:r>
        <w:rPr>
          <w:rFonts w:hint="eastAsia" w:eastAsia="宋体"/>
          <w:lang w:val="en-US" w:eastAsia="zh-CN"/>
        </w:rPr>
        <w:t xml:space="preserve">to capture the background on new BS EIRP mask requirement for band n104 </w:t>
      </w:r>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pPr>
        <w:pStyle w:val="2"/>
      </w:pPr>
      <w:bookmarkStart w:id="52" w:name="_Toc145036524"/>
      <w:bookmarkStart w:id="53" w:name="_Toc137244685"/>
      <w:bookmarkStart w:id="54" w:name="_Toc138894131"/>
      <w:bookmarkStart w:id="55" w:name="_Toc161927742"/>
      <w:bookmarkStart w:id="56" w:name="_Toc24577"/>
      <w:bookmarkStart w:id="57" w:name="_Toc138893899"/>
      <w:bookmarkStart w:id="58" w:name="_Toc155672099"/>
      <w:bookmarkStart w:id="59" w:name="_Toc153188816"/>
      <w:r>
        <w:t>2</w:t>
      </w:r>
      <w:r>
        <w:tab/>
      </w:r>
      <w:r>
        <w:t>References</w:t>
      </w:r>
      <w:bookmarkEnd w:id="47"/>
      <w:bookmarkEnd w:id="48"/>
      <w:bookmarkEnd w:id="49"/>
      <w:bookmarkEnd w:id="50"/>
      <w:bookmarkEnd w:id="51"/>
      <w:bookmarkEnd w:id="52"/>
      <w:bookmarkEnd w:id="53"/>
      <w:bookmarkEnd w:id="54"/>
      <w:bookmarkEnd w:id="55"/>
      <w:bookmarkEnd w:id="56"/>
      <w:bookmarkEnd w:id="57"/>
      <w:bookmarkEnd w:id="58"/>
      <w:bookmarkEnd w:id="59"/>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lang w:val="en-US" w:eastAsia="zh-CN"/>
        </w:rPr>
      </w:pPr>
    </w:p>
    <w:p>
      <w:pPr>
        <w:pStyle w:val="2"/>
      </w:pPr>
      <w:bookmarkStart w:id="60" w:name="definitions"/>
      <w:bookmarkEnd w:id="60"/>
      <w:bookmarkStart w:id="61" w:name="_Toc145036525"/>
      <w:bookmarkStart w:id="62" w:name="_Toc121932932"/>
      <w:bookmarkStart w:id="63" w:name="_Toc137240589"/>
      <w:bookmarkStart w:id="64" w:name="_Toc153188817"/>
      <w:bookmarkStart w:id="65" w:name="_Toc29553"/>
      <w:bookmarkStart w:id="66" w:name="_Toc155672100"/>
      <w:bookmarkStart w:id="67" w:name="_Toc161927743"/>
      <w:bookmarkStart w:id="68" w:name="_Toc138893900"/>
      <w:bookmarkStart w:id="69" w:name="_Toc138894132"/>
      <w:bookmarkStart w:id="70" w:name="_Toc121908646"/>
      <w:bookmarkStart w:id="71" w:name="_Toc21143"/>
      <w:bookmarkStart w:id="72" w:name="_Toc137244686"/>
      <w:bookmarkStart w:id="73" w:name="_Toc124186441"/>
      <w:r>
        <w:t>3</w:t>
      </w:r>
      <w:r>
        <w:tab/>
      </w:r>
      <w:r>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p>
    <w:p>
      <w:pPr>
        <w:pStyle w:val="3"/>
      </w:pPr>
      <w:bookmarkStart w:id="74" w:name="_Toc31301"/>
      <w:bookmarkStart w:id="75" w:name="_Toc24118"/>
      <w:bookmarkStart w:id="76" w:name="_Toc161927744"/>
      <w:bookmarkStart w:id="77" w:name="_Toc137240590"/>
      <w:bookmarkStart w:id="78" w:name="_Toc137244687"/>
      <w:bookmarkStart w:id="79" w:name="_Toc138894133"/>
      <w:bookmarkStart w:id="80" w:name="_Toc124186442"/>
      <w:bookmarkStart w:id="81" w:name="_Toc121932933"/>
      <w:bookmarkStart w:id="82" w:name="_Toc155672101"/>
      <w:bookmarkStart w:id="83" w:name="_Toc153188818"/>
      <w:bookmarkStart w:id="84" w:name="_Toc121908647"/>
      <w:bookmarkStart w:id="85" w:name="_Toc138893901"/>
      <w:bookmarkStart w:id="86" w:name="_Toc145036526"/>
      <w:r>
        <w:t>3.1</w:t>
      </w:r>
      <w:r>
        <w:tab/>
      </w:r>
      <w:r>
        <w:t>Definitions</w:t>
      </w:r>
      <w:bookmarkEnd w:id="74"/>
      <w:bookmarkEnd w:id="75"/>
      <w:bookmarkEnd w:id="76"/>
      <w:bookmarkEnd w:id="77"/>
      <w:bookmarkEnd w:id="78"/>
      <w:bookmarkEnd w:id="79"/>
      <w:bookmarkEnd w:id="80"/>
      <w:bookmarkEnd w:id="81"/>
      <w:bookmarkEnd w:id="82"/>
      <w:bookmarkEnd w:id="83"/>
      <w:bookmarkEnd w:id="84"/>
      <w:bookmarkEnd w:id="85"/>
      <w:bookmarkEnd w:id="86"/>
    </w:p>
    <w:p>
      <w:bookmarkStart w:id="87" w:name="_Toc121908648"/>
      <w:bookmarkStart w:id="88" w:name="_Toc155672102"/>
      <w:bookmarkStart w:id="89" w:name="_Toc121932934"/>
      <w:bookmarkStart w:id="90" w:name="_Toc16484"/>
      <w:bookmarkStart w:id="91" w:name="_Toc138894134"/>
      <w:bookmarkStart w:id="92" w:name="_Toc161927745"/>
      <w:bookmarkStart w:id="93" w:name="_Toc137240591"/>
      <w:bookmarkStart w:id="94" w:name="_Toc26704"/>
      <w:bookmarkStart w:id="95" w:name="_Toc137244688"/>
      <w:bookmarkStart w:id="96" w:name="_Toc153188819"/>
      <w:bookmarkStart w:id="97" w:name="_Toc124186443"/>
      <w:bookmarkStart w:id="98" w:name="_Toc138893902"/>
      <w:bookmarkStart w:id="99" w:name="_Toc145036527"/>
      <w:r>
        <w:t>For the purposes of the present document, the terms given in 3GPP TR 21.905 [1] and the following apply. A term defined in the present document takes precedence over the definition of the same term, if any, in 3GPP TR 21.905 [1].</w:t>
      </w:r>
    </w:p>
    <w:p>
      <w:pPr>
        <w:pStyle w:val="86"/>
      </w:pPr>
      <w:r>
        <w:t>Definition format (Normal)</w:t>
      </w:r>
    </w:p>
    <w:p>
      <w:pPr>
        <w:pStyle w:val="86"/>
      </w:pPr>
      <w:r>
        <w:rPr>
          <w:b/>
        </w:rPr>
        <w:t>&lt;defined term&gt;:</w:t>
      </w:r>
      <w:r>
        <w:t xml:space="preserve"> &lt;definition&gt;.</w:t>
      </w:r>
    </w:p>
    <w:p>
      <w:r>
        <w:rPr>
          <w:b/>
        </w:rPr>
        <w:t>example:</w:t>
      </w:r>
      <w:r>
        <w:t xml:space="preserve"> text used to clarify abstract rules by applying them literally.</w:t>
      </w:r>
    </w:p>
    <w:p>
      <w:pPr>
        <w:pStyle w:val="3"/>
      </w:pPr>
      <w:r>
        <w:t>3.2</w:t>
      </w:r>
      <w:r>
        <w:tab/>
      </w:r>
      <w:r>
        <w:t>Symbols</w:t>
      </w:r>
      <w:bookmarkEnd w:id="87"/>
      <w:bookmarkEnd w:id="88"/>
      <w:bookmarkEnd w:id="89"/>
      <w:bookmarkEnd w:id="90"/>
      <w:bookmarkEnd w:id="91"/>
      <w:bookmarkEnd w:id="92"/>
      <w:bookmarkEnd w:id="93"/>
      <w:bookmarkEnd w:id="94"/>
      <w:bookmarkEnd w:id="95"/>
      <w:bookmarkEnd w:id="96"/>
      <w:bookmarkEnd w:id="97"/>
      <w:bookmarkEnd w:id="98"/>
      <w:bookmarkEnd w:id="99"/>
    </w:p>
    <w:p>
      <w:pPr>
        <w:keepNext/>
      </w:pPr>
      <w:r>
        <w:t>For the purposes of the present document, the following symbols apply:</w:t>
      </w:r>
    </w:p>
    <w:p>
      <w:pPr>
        <w:pStyle w:val="86"/>
      </w:pPr>
      <w:r>
        <w:t>Symbol format (EW)</w:t>
      </w:r>
    </w:p>
    <w:p>
      <w:pPr>
        <w:pStyle w:val="66"/>
      </w:pPr>
      <w:r>
        <w:t>&lt;symbol&gt;</w:t>
      </w:r>
      <w:r>
        <w:tab/>
      </w:r>
      <w:r>
        <w:t>&lt;Explanation&gt;</w:t>
      </w:r>
    </w:p>
    <w:p>
      <w:pPr>
        <w:pStyle w:val="66"/>
      </w:pPr>
    </w:p>
    <w:p>
      <w:pPr>
        <w:pStyle w:val="3"/>
      </w:pPr>
      <w:bookmarkStart w:id="100" w:name="_Toc121932935"/>
      <w:bookmarkStart w:id="101" w:name="_Toc10575"/>
      <w:bookmarkStart w:id="102" w:name="_Toc161927746"/>
      <w:bookmarkStart w:id="103" w:name="_Toc137240592"/>
      <w:bookmarkStart w:id="104" w:name="_Toc138894135"/>
      <w:bookmarkStart w:id="105" w:name="_Toc137244689"/>
      <w:bookmarkStart w:id="106" w:name="_Toc155672103"/>
      <w:bookmarkStart w:id="107" w:name="_Toc138893903"/>
      <w:bookmarkStart w:id="108" w:name="_Toc153188820"/>
      <w:bookmarkStart w:id="109" w:name="_Toc124186444"/>
      <w:bookmarkStart w:id="110" w:name="_Toc121908649"/>
      <w:bookmarkStart w:id="111" w:name="_Toc15660"/>
      <w:bookmarkStart w:id="112" w:name="_Toc145036528"/>
      <w:r>
        <w:t>3.3</w:t>
      </w:r>
      <w:r>
        <w:tab/>
      </w:r>
      <w:r>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6"/>
        <w:keepNext/>
      </w:pPr>
      <w:r>
        <w:t>Abbreviation format (EW)</w:t>
      </w:r>
    </w:p>
    <w:p>
      <w:pPr>
        <w:pStyle w:val="66"/>
      </w:pPr>
      <w:r>
        <w:t>&lt;ABBREVIATION&gt;</w:t>
      </w:r>
      <w:r>
        <w:tab/>
      </w:r>
      <w:r>
        <w:t>&lt;Expansion&gt;</w:t>
      </w:r>
    </w:p>
    <w:p>
      <w:pPr>
        <w:keepNext/>
      </w:pPr>
    </w:p>
    <w:p>
      <w:pPr>
        <w:pStyle w:val="2"/>
        <w:numPr>
          <w:ilvl w:val="0"/>
          <w:numId w:val="1"/>
        </w:numPr>
        <w:rPr>
          <w:rFonts w:hint="eastAsia"/>
          <w:lang w:val="en-US" w:eastAsia="zh-CN"/>
        </w:rPr>
      </w:pPr>
      <w:bookmarkStart w:id="113" w:name="clause4"/>
      <w:bookmarkEnd w:id="113"/>
      <w:bookmarkStart w:id="114" w:name="_Toc1420"/>
      <w:r>
        <w:rPr>
          <w:rFonts w:hint="eastAsia"/>
          <w:lang w:val="en-US" w:eastAsia="zh-CN"/>
        </w:rPr>
        <w:t xml:space="preserve">         Background</w:t>
      </w:r>
      <w:bookmarkEnd w:id="114"/>
    </w:p>
    <w:p>
      <w:pPr>
        <w:numPr>
          <w:ilvl w:val="0"/>
          <w:numId w:val="0"/>
        </w:numPr>
        <w:rPr>
          <w:rFonts w:hint="default"/>
          <w:lang w:val="en-US"/>
        </w:rPr>
      </w:pPr>
      <w:bookmarkStart w:id="143" w:name="_GoBack"/>
      <w:bookmarkEnd w:id="143"/>
    </w:p>
    <w:p>
      <w:pPr>
        <w:pStyle w:val="2"/>
        <w:rPr>
          <w:rFonts w:hint="default"/>
          <w:lang w:val="en-US" w:eastAsia="zh-CN"/>
        </w:rPr>
      </w:pPr>
      <w:bookmarkStart w:id="115" w:name="_Toc138894145"/>
      <w:bookmarkStart w:id="116" w:name="_Toc155672113"/>
      <w:bookmarkStart w:id="117" w:name="_Toc137244699"/>
      <w:bookmarkStart w:id="118" w:name="_Toc10192"/>
      <w:bookmarkStart w:id="119" w:name="_Toc137240602"/>
      <w:bookmarkStart w:id="120" w:name="_Toc121908659"/>
      <w:bookmarkStart w:id="121" w:name="_Toc138893913"/>
      <w:bookmarkStart w:id="122" w:name="_Toc161927756"/>
      <w:bookmarkStart w:id="123" w:name="_Toc153188830"/>
      <w:bookmarkStart w:id="124" w:name="_Toc145036538"/>
      <w:bookmarkStart w:id="125" w:name="_Toc121932945"/>
      <w:bookmarkStart w:id="126" w:name="_Toc124186454"/>
      <w:bookmarkStart w:id="127" w:name="_Toc13876"/>
      <w:r>
        <w:rPr>
          <w:rFonts w:hint="eastAsia"/>
          <w:lang w:eastAsia="zh-CN"/>
        </w:rPr>
        <w:t>5</w:t>
      </w:r>
      <w:r>
        <w:rPr>
          <w:lang w:eastAsia="zh-CN"/>
        </w:rPr>
        <w:tab/>
      </w:r>
      <w:bookmarkEnd w:id="115"/>
      <w:bookmarkEnd w:id="116"/>
      <w:bookmarkEnd w:id="117"/>
      <w:bookmarkEnd w:id="118"/>
      <w:bookmarkEnd w:id="119"/>
      <w:bookmarkEnd w:id="120"/>
      <w:bookmarkEnd w:id="121"/>
      <w:bookmarkEnd w:id="122"/>
      <w:bookmarkEnd w:id="123"/>
      <w:bookmarkEnd w:id="124"/>
      <w:bookmarkEnd w:id="125"/>
      <w:bookmarkEnd w:id="126"/>
      <w:r>
        <w:rPr>
          <w:rFonts w:hint="eastAsia"/>
          <w:lang w:val="en-US" w:eastAsia="zh-CN"/>
        </w:rPr>
        <w:t>RF requirement</w:t>
      </w:r>
      <w:bookmarkEnd w:id="127"/>
    </w:p>
    <w:p>
      <w:pPr>
        <w:rPr>
          <w:lang w:eastAsia="zh-CN"/>
        </w:rPr>
      </w:pPr>
    </w:p>
    <w:p>
      <w:pPr>
        <w:pStyle w:val="2"/>
        <w:rPr>
          <w:rFonts w:hint="default"/>
          <w:lang w:val="en-US" w:eastAsia="zh-CN"/>
        </w:rPr>
      </w:pPr>
      <w:bookmarkStart w:id="128" w:name="_Toc121932960"/>
      <w:bookmarkStart w:id="129" w:name="_Toc121908674"/>
      <w:bookmarkStart w:id="130" w:name="_Toc138893928"/>
      <w:bookmarkStart w:id="131" w:name="_Toc13453"/>
      <w:bookmarkStart w:id="132" w:name="_Toc161927771"/>
      <w:bookmarkStart w:id="133" w:name="_Toc155672128"/>
      <w:bookmarkStart w:id="134" w:name="_Toc124186469"/>
      <w:bookmarkStart w:id="135" w:name="_Toc137244714"/>
      <w:bookmarkStart w:id="136" w:name="_Toc137240617"/>
      <w:bookmarkStart w:id="137" w:name="_Toc145036553"/>
      <w:bookmarkStart w:id="138" w:name="_Toc153188845"/>
      <w:bookmarkStart w:id="139" w:name="_Toc138894160"/>
      <w:bookmarkStart w:id="140" w:name="_Toc29978"/>
      <w:r>
        <w:rPr>
          <w:lang w:eastAsia="zh-CN"/>
        </w:rPr>
        <w:t>6</w:t>
      </w:r>
      <w:r>
        <w:rPr>
          <w:lang w:eastAsia="zh-CN"/>
        </w:rPr>
        <w:tab/>
      </w:r>
      <w:bookmarkEnd w:id="128"/>
      <w:bookmarkEnd w:id="129"/>
      <w:bookmarkEnd w:id="130"/>
      <w:bookmarkEnd w:id="131"/>
      <w:bookmarkEnd w:id="132"/>
      <w:bookmarkEnd w:id="133"/>
      <w:bookmarkEnd w:id="134"/>
      <w:bookmarkEnd w:id="135"/>
      <w:bookmarkEnd w:id="136"/>
      <w:bookmarkEnd w:id="137"/>
      <w:bookmarkEnd w:id="138"/>
      <w:bookmarkEnd w:id="139"/>
      <w:r>
        <w:rPr>
          <w:rFonts w:hint="eastAsia"/>
          <w:lang w:val="en-US" w:eastAsia="zh-CN"/>
        </w:rPr>
        <w:t>Conformance testing requirement and procedures</w:t>
      </w:r>
      <w:bookmarkEnd w:id="140"/>
    </w:p>
    <w:p>
      <w:pPr>
        <w:rPr>
          <w:i/>
        </w:rPr>
      </w:pPr>
    </w:p>
    <w:p/>
    <w:p/>
    <w:p>
      <w:pPr>
        <w:pStyle w:val="10"/>
      </w:pPr>
      <w:bookmarkStart w:id="141" w:name="_Toc47089192"/>
      <w:r>
        <w:t>Annex &lt;X&gt; (informative):</w:t>
      </w:r>
      <w:r>
        <w:br w:type="textWrapping"/>
      </w:r>
      <w:r>
        <w:t>Change history</w:t>
      </w:r>
      <w:bookmarkEnd w:id="141"/>
    </w:p>
    <w:p>
      <w:pPr>
        <w:pStyle w:val="69"/>
      </w:pPr>
      <w:bookmarkStart w:id="142" w:name="historyclause"/>
      <w:bookmarkEnd w:id="142"/>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pStyle w:val="61"/>
              <w:rPr>
                <w:sz w:val="16"/>
                <w:szCs w:val="16"/>
              </w:rPr>
            </w:pPr>
          </w:p>
        </w:tc>
        <w:tc>
          <w:tcPr>
            <w:tcW w:w="1094" w:type="dxa"/>
            <w:shd w:val="solid" w:color="FFFFFF" w:fill="auto"/>
          </w:tcPr>
          <w:p>
            <w:pPr>
              <w:pStyle w:val="61"/>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sz w:val="16"/>
                <w:szCs w:val="16"/>
              </w:rPr>
            </w:pPr>
          </w:p>
        </w:tc>
        <w:tc>
          <w:tcPr>
            <w:tcW w:w="708" w:type="dxa"/>
            <w:shd w:val="solid" w:color="FFFFFF" w:fill="auto"/>
          </w:tcPr>
          <w:p>
            <w:pPr>
              <w:pStyle w:val="61"/>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pStyle w:val="61"/>
              <w:rPr>
                <w:sz w:val="16"/>
                <w:szCs w:val="16"/>
              </w:rPr>
            </w:pPr>
          </w:p>
        </w:tc>
        <w:tc>
          <w:tcPr>
            <w:tcW w:w="1094" w:type="dxa"/>
            <w:shd w:val="solid" w:color="FFFFFF" w:fill="auto"/>
          </w:tcPr>
          <w:p>
            <w:pPr>
              <w:pStyle w:val="61"/>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sz w:val="16"/>
                <w:szCs w:val="16"/>
              </w:rPr>
            </w:pPr>
          </w:p>
        </w:tc>
        <w:tc>
          <w:tcPr>
            <w:tcW w:w="708" w:type="dxa"/>
            <w:shd w:val="solid" w:color="FFFFFF" w:fill="auto"/>
          </w:tcPr>
          <w:p>
            <w:pPr>
              <w:pStyle w:val="61"/>
              <w:rPr>
                <w:sz w:val="16"/>
                <w:szCs w:val="16"/>
              </w:rPr>
            </w:pPr>
          </w:p>
        </w:tc>
      </w:tr>
    </w:tbl>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38.908 V0.0.0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5A2889"/>
    <w:rsid w:val="015A62EC"/>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5EB51C9"/>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2208DF"/>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3607E6"/>
    <w:rsid w:val="29861E45"/>
    <w:rsid w:val="299561ED"/>
    <w:rsid w:val="29A46A84"/>
    <w:rsid w:val="29A8798E"/>
    <w:rsid w:val="2A4B55E4"/>
    <w:rsid w:val="2A64247C"/>
    <w:rsid w:val="2A9D2A7A"/>
    <w:rsid w:val="2AA7241A"/>
    <w:rsid w:val="2AC85305"/>
    <w:rsid w:val="2AEC51AB"/>
    <w:rsid w:val="2AFC0124"/>
    <w:rsid w:val="2AFF6730"/>
    <w:rsid w:val="2B03430B"/>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A6517"/>
    <w:rsid w:val="40BE48D8"/>
    <w:rsid w:val="40DF29DC"/>
    <w:rsid w:val="410B1104"/>
    <w:rsid w:val="411C0246"/>
    <w:rsid w:val="41395199"/>
    <w:rsid w:val="417C3D83"/>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9D1B4E"/>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C83BFD"/>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1EEF"/>
    <w:rsid w:val="53BA7787"/>
    <w:rsid w:val="544445C2"/>
    <w:rsid w:val="54775B3F"/>
    <w:rsid w:val="548F53A1"/>
    <w:rsid w:val="54A7695F"/>
    <w:rsid w:val="54D70794"/>
    <w:rsid w:val="54D86B06"/>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250F2D"/>
    <w:rsid w:val="61824204"/>
    <w:rsid w:val="618B6BCC"/>
    <w:rsid w:val="619E7DD5"/>
    <w:rsid w:val="627D0240"/>
    <w:rsid w:val="62984FD7"/>
    <w:rsid w:val="629C2AF2"/>
    <w:rsid w:val="62D94BCB"/>
    <w:rsid w:val="63270DA8"/>
    <w:rsid w:val="63594A53"/>
    <w:rsid w:val="635D3A6F"/>
    <w:rsid w:val="63767D7A"/>
    <w:rsid w:val="637E2FB9"/>
    <w:rsid w:val="64013EAB"/>
    <w:rsid w:val="641939C4"/>
    <w:rsid w:val="64671009"/>
    <w:rsid w:val="64CB5F5E"/>
    <w:rsid w:val="650653EA"/>
    <w:rsid w:val="653311D4"/>
    <w:rsid w:val="6581357F"/>
    <w:rsid w:val="65F71385"/>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1</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2024-08-09T12:56:04Z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B2AD744122F744CC8815B2C16280665C</vt:lpwstr>
  </property>
</Properties>
</file>